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Hydroinformatics</w:t>
      </w:r>
      <w:r w:rsidR="00BE0C45">
        <w:rPr>
          <w:sz w:val="28"/>
          <w:szCs w:val="28"/>
        </w:rPr>
        <w:t xml:space="preserve"> ILO-Grading Rubric</w:t>
      </w:r>
      <w:r w:rsidR="00BE0C45">
        <w:rPr>
          <w:sz w:val="28"/>
          <w:szCs w:val="28"/>
        </w:rPr>
        <w:tab/>
        <w:t>ILO-2</w:t>
      </w:r>
      <w:r w:rsidRPr="00CB0C68">
        <w:rPr>
          <w:sz w:val="28"/>
          <w:szCs w:val="28"/>
        </w:rPr>
        <w:tab/>
        <w:t>Date</w:t>
      </w:r>
      <w:proofErr w:type="gramStart"/>
      <w:r w:rsidRPr="00CB0C68">
        <w:rPr>
          <w:sz w:val="28"/>
          <w:szCs w:val="28"/>
        </w:rPr>
        <w:t>:_</w:t>
      </w:r>
      <w:proofErr w:type="gramEnd"/>
      <w:r w:rsidRPr="00CB0C68">
        <w:rPr>
          <w:sz w:val="28"/>
          <w:szCs w:val="28"/>
        </w:rPr>
        <w:t>________</w:t>
      </w:r>
      <w:r w:rsidRPr="00CB0C68">
        <w:rPr>
          <w:sz w:val="28"/>
          <w:szCs w:val="28"/>
        </w:rPr>
        <w:tab/>
        <w:t xml:space="preserve">Student: </w:t>
      </w:r>
      <w:r>
        <w:rPr>
          <w:sz w:val="28"/>
          <w:szCs w:val="28"/>
        </w:rPr>
        <w:t>__________________________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BE0C45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Description of </w:t>
            </w:r>
            <w:r w:rsidR="00390FB3">
              <w:rPr>
                <w:rFonts w:ascii="TimesNewRomanPSMT" w:hAnsi="TimesNewRomanPSMT" w:cs="TimesNewRomanPSMT"/>
                <w:sz w:val="20"/>
                <w:szCs w:val="20"/>
              </w:rPr>
              <w:t>entities</w:t>
            </w:r>
            <w:r w:rsidR="006D0B0D">
              <w:rPr>
                <w:rFonts w:ascii="TimesNewRomanPSMT" w:hAnsi="TimesNewRomanPSMT" w:cs="TimesNewRomanPSMT"/>
                <w:sz w:val="20"/>
                <w:szCs w:val="20"/>
              </w:rPr>
              <w:t>, relationships,</w:t>
            </w:r>
            <w:bookmarkStart w:id="0" w:name="_GoBack"/>
            <w:bookmarkEnd w:id="0"/>
            <w:r w:rsidR="00390FB3">
              <w:rPr>
                <w:rFonts w:ascii="TimesNewRomanPSMT" w:hAnsi="TimesNewRomanPSMT" w:cs="TimesNewRomanPSMT"/>
                <w:sz w:val="20"/>
                <w:szCs w:val="20"/>
              </w:rPr>
              <w:t xml:space="preserve"> and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metadata structure (30)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BE0C45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Overview of software technology, file formats, etc. to be used to implement the data model (10)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BE0C45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Assessment of how the data model will support queries (10)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BE0C45" w:rsidP="00D84B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Entity relationship diagram (20)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/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050554"/>
    <w:rsid w:val="00390FB3"/>
    <w:rsid w:val="004F2248"/>
    <w:rsid w:val="00520B03"/>
    <w:rsid w:val="006D0B0D"/>
    <w:rsid w:val="00733505"/>
    <w:rsid w:val="008233A1"/>
    <w:rsid w:val="00BE0C45"/>
    <w:rsid w:val="00D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Jeff Horsburgh</cp:lastModifiedBy>
  <cp:revision>5</cp:revision>
  <dcterms:created xsi:type="dcterms:W3CDTF">2012-08-27T04:48:00Z</dcterms:created>
  <dcterms:modified xsi:type="dcterms:W3CDTF">2012-08-27T16:46:00Z</dcterms:modified>
</cp:coreProperties>
</file>