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9303D9">
      <w:pPr>
        <w:pStyle w:val="papertitle"/>
      </w:pPr>
      <w:bookmarkStart w:id="0" w:name="_GoBack"/>
      <w:bookmarkEnd w:id="0"/>
      <w:r>
        <w:t xml:space="preserve">Paper Title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pPr>
      <w:r w:rsidRPr="005B520E">
        <w:t>line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Default="009303D9" w:rsidP="005B520E">
      <w:pPr>
        <w:pStyle w:val="Abstract"/>
      </w:pPr>
      <w:r>
        <w:rPr>
          <w:i/>
          <w:iCs/>
        </w:rPr>
        <w:lastRenderedPageBreak/>
        <w:t>Abstract</w:t>
      </w:r>
      <w:r>
        <w:t>—</w:t>
      </w:r>
      <w:r w:rsidR="0072579D" w:rsidRPr="00B57A1C">
        <w:t xml:space="preserve">This </w:t>
      </w:r>
      <w:r w:rsidR="0072579D">
        <w:t xml:space="preserve">electronic </w:t>
      </w:r>
      <w:r w:rsidR="0072579D" w:rsidRPr="00B57A1C">
        <w:t>document is a “live” template</w:t>
      </w:r>
      <w:r w:rsidR="0072579D">
        <w:t xml:space="preserve"> and already defines t</w:t>
      </w:r>
      <w:r w:rsidR="0072579D" w:rsidRPr="00B57A1C">
        <w:t xml:space="preserve">he components of your paper [title, text, heads, etc.] </w:t>
      </w:r>
      <w:r w:rsidR="0072579D">
        <w:t>in its style sheet.  **</w:t>
      </w:r>
      <w:r w:rsidR="0072579D" w:rsidRPr="002F021B">
        <w:rPr>
          <w:i/>
        </w:rPr>
        <w:t xml:space="preserve">CRITICAL: </w:t>
      </w:r>
      <w:r w:rsidR="0072579D">
        <w:rPr>
          <w:i/>
        </w:rPr>
        <w:t xml:space="preserve"> </w:t>
      </w:r>
      <w:r w:rsidR="0072579D" w:rsidRPr="002F021B">
        <w:rPr>
          <w:i/>
        </w:rPr>
        <w:t>Do</w:t>
      </w:r>
      <w:r w:rsidR="0072579D" w:rsidRPr="002F021B">
        <w:rPr>
          <w:rFonts w:eastAsia="Times New Roman"/>
          <w:i/>
        </w:rPr>
        <w:t xml:space="preserve"> </w:t>
      </w:r>
      <w:r w:rsidR="0072579D" w:rsidRPr="002F021B">
        <w:rPr>
          <w:i/>
        </w:rPr>
        <w:t>Not</w:t>
      </w:r>
      <w:r w:rsidR="0072579D" w:rsidRPr="002F021B">
        <w:rPr>
          <w:rFonts w:eastAsia="Times New Roman"/>
          <w:i/>
        </w:rPr>
        <w:t xml:space="preserve"> </w:t>
      </w:r>
      <w:r w:rsidR="0072579D" w:rsidRPr="002F021B">
        <w:rPr>
          <w:i/>
        </w:rPr>
        <w:t>Use</w:t>
      </w:r>
      <w:r w:rsidR="0072579D" w:rsidRPr="002F021B">
        <w:rPr>
          <w:rFonts w:eastAsia="Times New Roman"/>
          <w:i/>
        </w:rPr>
        <w:t xml:space="preserve"> </w:t>
      </w:r>
      <w:r w:rsidR="0072579D" w:rsidRPr="002F021B">
        <w:rPr>
          <w:i/>
        </w:rPr>
        <w:t>Symbols,</w:t>
      </w:r>
      <w:r w:rsidR="0072579D" w:rsidRPr="002F021B">
        <w:rPr>
          <w:rFonts w:eastAsia="Times New Roman"/>
          <w:i/>
        </w:rPr>
        <w:t xml:space="preserve"> </w:t>
      </w:r>
      <w:r w:rsidR="0072579D" w:rsidRPr="002F021B">
        <w:rPr>
          <w:i/>
        </w:rPr>
        <w:t>Special</w:t>
      </w:r>
      <w:r w:rsidR="0072579D" w:rsidRPr="002F021B">
        <w:rPr>
          <w:rFonts w:eastAsia="Times New Roman"/>
          <w:i/>
        </w:rPr>
        <w:t xml:space="preserve"> </w:t>
      </w:r>
      <w:r w:rsidR="0072579D" w:rsidRPr="002F021B">
        <w:rPr>
          <w:i/>
        </w:rPr>
        <w:t>Characters,</w:t>
      </w:r>
      <w:r w:rsidR="0072579D" w:rsidRPr="002F021B">
        <w:rPr>
          <w:rFonts w:eastAsia="Times New Roman"/>
          <w:i/>
        </w:rPr>
        <w:t xml:space="preserve"> </w:t>
      </w:r>
      <w:r w:rsidR="0072579D">
        <w:rPr>
          <w:i/>
        </w:rPr>
        <w:t>o</w:t>
      </w:r>
      <w:r w:rsidR="0072579D" w:rsidRPr="002F021B">
        <w:rPr>
          <w:i/>
        </w:rPr>
        <w:t>r</w:t>
      </w:r>
      <w:r w:rsidR="0072579D" w:rsidRPr="002F021B">
        <w:rPr>
          <w:rFonts w:eastAsia="Times New Roman"/>
          <w:i/>
        </w:rPr>
        <w:t xml:space="preserve"> </w:t>
      </w:r>
      <w:r w:rsidR="0072579D" w:rsidRPr="002F021B">
        <w:rPr>
          <w:i/>
        </w:rPr>
        <w:t>Math</w:t>
      </w:r>
      <w:r w:rsidR="0072579D" w:rsidRPr="002F021B">
        <w:rPr>
          <w:rFonts w:eastAsia="Times New Roman"/>
          <w:i/>
        </w:rPr>
        <w:t xml:space="preserve"> </w:t>
      </w:r>
      <w:r w:rsidR="0072579D">
        <w:rPr>
          <w:i/>
        </w:rPr>
        <w:t>i</w:t>
      </w:r>
      <w:r w:rsidR="0072579D" w:rsidRPr="002F021B">
        <w:rPr>
          <w:i/>
        </w:rPr>
        <w:t>n</w:t>
      </w:r>
      <w:r w:rsidR="0072579D" w:rsidRPr="002F021B">
        <w:rPr>
          <w:rFonts w:eastAsia="Times New Roman"/>
          <w:i/>
        </w:rPr>
        <w:t xml:space="preserve"> Paper </w:t>
      </w:r>
      <w:r w:rsidR="0072579D" w:rsidRPr="002F021B">
        <w:rPr>
          <w:i/>
        </w:rPr>
        <w:t>Title</w:t>
      </w:r>
      <w:r w:rsidR="0072579D" w:rsidRPr="002F021B">
        <w:rPr>
          <w:rFonts w:eastAsia="Times New Roman"/>
          <w:i/>
        </w:rPr>
        <w:t xml:space="preserve"> </w:t>
      </w:r>
      <w:r w:rsidR="0072579D">
        <w:rPr>
          <w:rFonts w:eastAsia="Times New Roman"/>
          <w:i/>
        </w:rPr>
        <w:t>o</w:t>
      </w:r>
      <w:r w:rsidR="0072579D" w:rsidRPr="002F021B">
        <w:rPr>
          <w:i/>
        </w:rPr>
        <w:t>r</w:t>
      </w:r>
      <w:r w:rsidR="0072579D" w:rsidRPr="002F021B">
        <w:rPr>
          <w:rFonts w:eastAsia="Times New Roman"/>
          <w:i/>
        </w:rPr>
        <w:t xml:space="preserve"> </w:t>
      </w:r>
      <w:r w:rsidR="0072579D" w:rsidRPr="002F021B">
        <w:rPr>
          <w:i/>
        </w:rPr>
        <w:t>Abstract</w:t>
      </w:r>
      <w:r w:rsidR="0072579D" w:rsidRPr="002F021B">
        <w:t>.</w:t>
      </w:r>
      <w:r w:rsidR="0072579D" w:rsidRPr="00E02BE6">
        <w:t xml:space="preserve"> </w:t>
      </w:r>
      <w:r w:rsidR="007F02C4" w:rsidRPr="007F02C4">
        <w:rPr>
          <w:b w:val="0"/>
          <w:i/>
        </w:rPr>
        <w:t>(Abstract)</w:t>
      </w:r>
    </w:p>
    <w:p w:rsidR="009303D9" w:rsidRDefault="007F02C4" w:rsidP="005B520E">
      <w:pPr>
        <w:pStyle w:val="keywords"/>
      </w:pPr>
      <w:r>
        <w:t>Keywords—</w:t>
      </w:r>
      <w:r w:rsidR="009303D9">
        <w:t xml:space="preserve">component; </w:t>
      </w:r>
      <w:r w:rsidR="009303D9" w:rsidRPr="005B520E">
        <w:t>formatting</w:t>
      </w:r>
      <w:r w:rsidR="009303D9">
        <w:t xml:space="preserve">; style; styling; insert </w:t>
      </w:r>
      <w:r w:rsidR="009303D9" w:rsidRPr="002D4C96">
        <w:rPr>
          <w:b w:val="0"/>
        </w:rPr>
        <w:t>(key words)</w:t>
      </w:r>
    </w:p>
    <w:p w:rsidR="009303D9" w:rsidRDefault="009303D9" w:rsidP="005B520E">
      <w:pPr>
        <w:pStyle w:val="Heading1"/>
      </w:pPr>
      <w:r>
        <w:t xml:space="preserve"> </w:t>
      </w:r>
      <w:r w:rsidRPr="005B520E">
        <w:t>Introduction</w:t>
      </w:r>
      <w:r>
        <w:t xml:space="preserve"> </w:t>
      </w:r>
      <w:r>
        <w:rPr>
          <w:i/>
          <w:iCs/>
        </w:rPr>
        <w:t>(Heading 1)</w:t>
      </w:r>
    </w:p>
    <w:p w:rsidR="009303D9" w:rsidRPr="005B520E" w:rsidRDefault="009303D9" w:rsidP="005B520E">
      <w:pPr>
        <w:pStyle w:val="BodyText"/>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Default="009303D9" w:rsidP="005B520E">
      <w:pPr>
        <w:pStyle w:val="Heading1"/>
      </w:pPr>
      <w:r>
        <w:t>Ease of Use</w:t>
      </w:r>
    </w:p>
    <w:p w:rsidR="009303D9" w:rsidRDefault="009303D9" w:rsidP="005B520E">
      <w:pPr>
        <w:pStyle w:val="Heading2"/>
      </w:pPr>
      <w:r>
        <w:t>Selecting a Template (Heading 2)</w:t>
      </w:r>
    </w:p>
    <w:p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rsidR="009303D9" w:rsidRPr="005B520E" w:rsidRDefault="009303D9">
      <w:pPr>
        <w:pStyle w:val="Heading2"/>
      </w:pPr>
      <w:r w:rsidRPr="005B520E">
        <w:t>Maintaining the Integrity of the Specifications</w:t>
      </w:r>
    </w:p>
    <w:p w:rsidR="00F2629C" w:rsidRPr="000A7150" w:rsidRDefault="00F2629C" w:rsidP="00F2629C">
      <w:pPr>
        <w:pStyle w:val="sponsors"/>
        <w:framePr w:wrap="auto" w:vAnchor="page" w:hAnchor="page" w:x="868" w:y="14401"/>
        <w:rPr>
          <w:i/>
        </w:rPr>
      </w:pPr>
      <w:r w:rsidRPr="00E02BE6">
        <w:t xml:space="preserve">Identify applicable sponsor/s here. </w:t>
      </w:r>
      <w:r>
        <w:t xml:space="preserve">If no sponsors, delete this text box. </w:t>
      </w:r>
      <w:r w:rsidRPr="000A7150">
        <w:rPr>
          <w:i/>
        </w:rPr>
        <w:t>(sponsors)</w:t>
      </w:r>
    </w:p>
    <w:p w:rsidR="009303D9" w:rsidRPr="005B520E" w:rsidRDefault="009303D9">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w:t>
      </w:r>
      <w:r w:rsidRPr="005B520E">
        <w:lastRenderedPageBreak/>
        <w:t>not as an independent document. Please do not revise any of the current designations.</w:t>
      </w:r>
    </w:p>
    <w:p w:rsidR="009303D9" w:rsidRDefault="009303D9" w:rsidP="005B520E">
      <w:pPr>
        <w:pStyle w:val="Heading1"/>
      </w:pPr>
      <w:r>
        <w:t xml:space="preserve">Prepare Your Paper </w:t>
      </w:r>
      <w:r w:rsidRPr="005B520E">
        <w:t>Before</w:t>
      </w:r>
      <w:r>
        <w:t xml:space="preserve"> Styling</w:t>
      </w:r>
    </w:p>
    <w:p w:rsidR="009303D9" w:rsidRPr="005B520E" w:rsidRDefault="009303D9" w:rsidP="005B520E">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5B520E">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5B520E">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5B520E">
      <w:pPr>
        <w:pStyle w:val="bulletlist"/>
      </w:pPr>
      <w:r w:rsidRPr="005B520E">
        <w:t>Use a zero before decimal points: “0.25”, not “.25”. Use “cm3”, not “cc”. (</w:t>
      </w:r>
      <w:r w:rsidRPr="005B520E">
        <w:rPr>
          <w:i/>
          <w:iCs/>
        </w:rPr>
        <w:t>bullet list</w:t>
      </w:r>
      <w:r w:rsidRPr="005B520E">
        <w:t>)</w:t>
      </w:r>
    </w:p>
    <w:p w:rsidR="009303D9" w:rsidRPr="005B520E" w:rsidRDefault="009303D9">
      <w:pPr>
        <w:pStyle w:val="Heading2"/>
      </w:pPr>
      <w:r w:rsidRPr="005B520E">
        <w:lastRenderedPageBreak/>
        <w:t>Equations</w:t>
      </w:r>
    </w:p>
    <w:p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pPr>
        <w:pStyle w:val="bulletlist"/>
      </w:pPr>
      <w:r w:rsidRPr="005B520E">
        <w:t>The word “data” is plural, not singular.</w:t>
      </w:r>
    </w:p>
    <w:p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pPr>
        <w:pStyle w:val="bulletlist"/>
      </w:pPr>
      <w:r w:rsidRPr="005B520E">
        <w:t>Do not use the word “essentially” to mean “approximately” or “effectively”.</w:t>
      </w:r>
    </w:p>
    <w:p w:rsidR="009303D9" w:rsidRPr="005B520E" w:rsidRDefault="009303D9">
      <w:pPr>
        <w:pStyle w:val="bulletlist"/>
      </w:pPr>
      <w:r w:rsidRPr="005B520E">
        <w:t>In your paper title, if the words “that uses” can accurately replace the word “using”, capitalize the “u”; if not, keep using lower-cased.</w:t>
      </w:r>
    </w:p>
    <w:p w:rsidR="009303D9" w:rsidRPr="005B520E" w:rsidRDefault="009303D9">
      <w:pPr>
        <w:pStyle w:val="bulletlist"/>
      </w:pPr>
      <w:r w:rsidRPr="005B520E">
        <w:t>Be aware of the different meanings of the homophones “affect” and “effect”, “complement” and “compliment”, “discreet” and “discrete”, “principal” and “principle”.</w:t>
      </w:r>
    </w:p>
    <w:p w:rsidR="009303D9" w:rsidRPr="005B520E" w:rsidRDefault="009303D9">
      <w:pPr>
        <w:pStyle w:val="bulletlist"/>
      </w:pPr>
      <w:r w:rsidRPr="005B520E">
        <w:lastRenderedPageBreak/>
        <w:t>Do not confuse “imply” and “infer”.</w:t>
      </w:r>
    </w:p>
    <w:p w:rsidR="009303D9" w:rsidRPr="005B520E" w:rsidRDefault="009303D9">
      <w:pPr>
        <w:pStyle w:val="bulletlist"/>
      </w:pPr>
      <w:r w:rsidRPr="005B520E">
        <w:t>The prefix “non” is not a word; it should be joined to the word it modifies, usually without a hyphen.</w:t>
      </w:r>
    </w:p>
    <w:p w:rsidR="009303D9" w:rsidRPr="005B520E" w:rsidRDefault="009303D9">
      <w:pPr>
        <w:pStyle w:val="bulletlist"/>
      </w:pPr>
      <w:r w:rsidRPr="005B520E">
        <w:t>There is no period after the “et” in the Latin abbreviation “et al.”.</w:t>
      </w:r>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5B520E" w:rsidRDefault="009303D9">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rsidR="009303D9" w:rsidRPr="005B520E" w:rsidRDefault="009303D9" w:rsidP="005B520E">
      <w:pPr>
        <w:pStyle w:val="Heading4"/>
      </w:pPr>
      <w:r w:rsidRPr="005B520E">
        <w:t xml:space="preserve">Selection: </w:t>
      </w:r>
      <w:r w:rsidRPr="005B520E">
        <w:rPr>
          <w:i w:val="0"/>
          <w:iCs w:val="0"/>
        </w:rPr>
        <w:t>Highlight all author and affiliation lines.</w:t>
      </w:r>
    </w:p>
    <w:p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Highlight author and affiliation lines of affiliation 1 and copy this selection.</w:t>
      </w:r>
    </w:p>
    <w:p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9303D9" w:rsidRPr="005B520E" w:rsidRDefault="009303D9" w:rsidP="005B520E">
      <w:pPr>
        <w:pStyle w:val="Heading4"/>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5B520E">
        <w:rPr>
          <w:i w:val="0"/>
          <w:iCs w:val="0"/>
        </w:rPr>
        <w:lastRenderedPageBreak/>
        <w:t>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pPr>
        <w:pStyle w:val="BodyText"/>
      </w:pPr>
      <w:r w:rsidRPr="005B520E">
        <w:t>Headings, or heads, are organizational devices that guide the reader through your paper. There are two types: component heads and text heads.</w:t>
      </w:r>
    </w:p>
    <w:p w:rsidR="009303D9" w:rsidRPr="005B520E" w:rsidRDefault="009303D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B520E">
      <w:pPr>
        <w:pStyle w:val="tablefootnote"/>
      </w:pPr>
      <w:r>
        <w:t xml:space="preserve">a. Sample of a </w:t>
      </w:r>
      <w:r w:rsidRPr="005B520E">
        <w:t>Table</w:t>
      </w:r>
      <w:r>
        <w:t xml:space="preserve"> footnote. </w:t>
      </w:r>
      <w:r w:rsidRPr="00F2629C">
        <w:rPr>
          <w:i/>
        </w:rPr>
        <w:t>(Table footnote)</w:t>
      </w:r>
    </w:p>
    <w:p w:rsidR="009303D9" w:rsidRDefault="009303D9" w:rsidP="005B520E"/>
    <w:p w:rsidR="009303D9" w:rsidRDefault="001125C7" w:rsidP="005B520E">
      <w:pPr>
        <w:pStyle w:val="figurecaption"/>
      </w:pPr>
      <w: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Example of a figure </w:t>
      </w:r>
      <w:r w:rsidR="009303D9" w:rsidRPr="005B520E">
        <w:t>caption</w:t>
      </w:r>
      <w:r w:rsidR="009303D9">
        <w:t xml:space="preserve">. </w:t>
      </w:r>
      <w:r w:rsidR="009303D9">
        <w:rPr>
          <w:i/>
          <w:iCs/>
        </w:rPr>
        <w:t>(figure caption)</w:t>
      </w:r>
    </w:p>
    <w:p w:rsidR="009303D9" w:rsidRPr="005B520E" w:rsidRDefault="009303D9">
      <w:pPr>
        <w:pStyle w:val="BodyText"/>
      </w:pPr>
      <w:r w:rsidRPr="005B520E">
        <w:t xml:space="preserve">Figure Labels: Use 8 point Times New Roman for Figure labels. Use words rather than symbols or abbreviations when writing Figure axis labels to avoid confusing the reader. As an </w:t>
      </w:r>
      <w:r w:rsidRPr="005B520E">
        <w:lastRenderedPageBreak/>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9303D9" w:rsidRDefault="009303D9" w:rsidP="005B520E">
      <w:pPr>
        <w:pStyle w:val="Heading5"/>
      </w:pPr>
      <w:r w:rsidRPr="005B520E">
        <w:t>Acknowledgment</w:t>
      </w:r>
      <w:r>
        <w:t xml:space="preserve"> </w:t>
      </w:r>
      <w:r>
        <w:rPr>
          <w:i/>
          <w:iCs/>
        </w:rPr>
        <w:t>(Heading 5)</w:t>
      </w:r>
    </w:p>
    <w:p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thanks . . .”  Instead, try “R. B. G. thanks”. Put sponsor acknowledgments in the unnum-bered footnote on the first page.</w:t>
      </w:r>
    </w:p>
    <w:p w:rsidR="009303D9" w:rsidRDefault="009303D9" w:rsidP="005B520E">
      <w:pPr>
        <w:pStyle w:val="Heading5"/>
      </w:pPr>
      <w:r w:rsidRPr="005B520E">
        <w:t>References</w:t>
      </w:r>
    </w:p>
    <w:p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pPr>
        <w:pStyle w:val="BodyText"/>
      </w:pPr>
      <w:r w:rsidRPr="005B520E">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State">
        <w:r>
          <w:t>Oxford</w:t>
        </w:r>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State">
        <w:r>
          <w:t>New York</w:t>
        </w:r>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State">
        <w:r>
          <w:t>Japan</w:t>
        </w:r>
      </w:smartTag>
      <w:r>
        <w:t xml:space="preserve">, vol. 2, pp. 740–741, August 1987 [Digests 9th Annual Conf. Magnetics </w:t>
      </w:r>
      <w:smartTag w:uri="urn:schemas-microsoft-com:office:smarttags" w:element="State">
        <w:r>
          <w:t>Japan</w:t>
        </w:r>
      </w:smartTag>
      <w:r>
        <w:t>, p. 301, 1982].</w:t>
      </w:r>
    </w:p>
    <w:p w:rsidR="009303D9" w:rsidRDefault="009303D9">
      <w:pPr>
        <w:pStyle w:val="references"/>
      </w:pPr>
      <w:r>
        <w:t xml:space="preserve">M. Young, The Technical Writer's Handbook. </w:t>
      </w:r>
      <w:smartTag w:uri="urn:schemas-microsoft-com:office:smarttags" w:element="State">
        <w:smartTag w:uri="urn:schemas-microsoft-com:office:smarttags" w:element="State">
          <w:r>
            <w:t>Mill Valley</w:t>
          </w:r>
        </w:smartTag>
        <w:r>
          <w:t xml:space="preserve">, </w:t>
        </w:r>
        <w:smartTag w:uri="urn:schemas-microsoft-com:office:smarttags" w:element="State">
          <w:r>
            <w:t>CA</w:t>
          </w:r>
        </w:smartTag>
      </w:smartTag>
      <w:r>
        <w:t>: University Science, 1989.</w:t>
      </w:r>
    </w:p>
    <w:p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1125C7"/>
    <w:rsid w:val="002254A9"/>
    <w:rsid w:val="002D4C96"/>
    <w:rsid w:val="00387DC1"/>
    <w:rsid w:val="005B520E"/>
    <w:rsid w:val="0072579D"/>
    <w:rsid w:val="007C2FF2"/>
    <w:rsid w:val="007F02C4"/>
    <w:rsid w:val="008D78CD"/>
    <w:rsid w:val="009303D9"/>
    <w:rsid w:val="00B11A60"/>
    <w:rsid w:val="00F07E33"/>
    <w:rsid w:val="00F2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Dan Ames</cp:lastModifiedBy>
  <cp:revision>2</cp:revision>
  <dcterms:created xsi:type="dcterms:W3CDTF">2012-11-14T17:57:00Z</dcterms:created>
  <dcterms:modified xsi:type="dcterms:W3CDTF">2012-11-14T17:57:00Z</dcterms:modified>
</cp:coreProperties>
</file>